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bookmarkStart w:id="0" w:name="_GoBack"/>
      <w:bookmarkEnd w:id="0"/>
      <w:r w:rsidRPr="00864B88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BILL NUMBER:</w:t>
      </w: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A1741A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r w:rsidRPr="00864B88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SPONSOR:</w:t>
      </w: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Gottfried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r w:rsidRPr="00864B88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TITLE OF BILL</w:t>
      </w: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>: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An act to amend the insurance law, in relation to calculating an insured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individual's overall contribution to any out-of-pocket maximum or any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cost-sharing requirement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r w:rsidRPr="00864B88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PURPOSE OR GENERAL IDEA OF BILL</w:t>
      </w: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>: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Requires insurance companies or pharmacy benefit managers to apply price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reduction instruments for out-of-pocket expenses when calculating an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insured individual's cost-sharing requirement.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r w:rsidRPr="00864B88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SUMMARY OF PROVISIONS</w:t>
      </w: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>: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Section 1 adds a new paragraph 36 to subsection (i) of section 3217 of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the insurance law requiring any individual insurance policy that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provides coverage for prescription drugs to apply any third-party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payments or other price reduction instruments for out-of-pocket expenses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made on behalf of an insured person when calculating the insured indi-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vidual's overall contribution to any out-of-pocket maximum or cost-shar-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ing requirement.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Section 2 adds a new paragraph 21 to subsection (1) of section 3221 of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the insurance law applying these same provisions to group or blanket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policies that provide coverage for prescription drugs.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Section 3 adds a new subsection (ss) to section 4303 of the insurance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law applying these same provisions to non-profit medical expense indem-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nity policies, hospital service corporations or health service corpo-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rations that provides coverage for prescription drugs.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Section 4 is the effective date.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r w:rsidRPr="00864B88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JUSTIFICATION</w:t>
      </w: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>: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Recently, many insurance companies and pharmacy benefit managers have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started to adopt new cost-shifting mechanisms that change the way an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insured individual's out-of-pocket contributions for prescription drugs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are calculated. These "copay accumulators" do not take into account any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discounts or coupons that the insured person receives from the drug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manufacturer when calculating the insured individual's out-of-pocket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expenses.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Some insurance plans with a deductible require that the patient pay up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to a certain amount of out-of-pocket expenses before the plan pays for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all of the healthcare services. Many drug manufacturers, especially for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high-cost drugs that treat rare diseases offer copay cards or other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assistance to help pay for their prescription drugs. By not applying the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discounts paid by the manufacturer, it takes the insured person longer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to reach their deductible. This means that the insured person has to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continue to pay copays for the drug for a longer period of time and may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be paying significantly more in out-of-pocket expenses.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This practice shifts the cost towards patients as the insurance plan are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essentially "double dipping" by requiring the patient to pay their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normal copay and still receiving a discount or coupon from the drug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lastRenderedPageBreak/>
        <w:t xml:space="preserve"> manufacturer, while taking longer to satisfy their deductible.  Several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states have already prohibited copay accumulators including Arizona,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Virginia and West Virginia. Several other states have introduced legis-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lation (Connecticut, Illinois, California, and others) that is currently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moving through the legislative process that either limit or prohibit the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use of "copay accumulators" by insurers.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r w:rsidRPr="00864B88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PRIOR LEGISLATIVE HISTORY</w:t>
      </w: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>: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2019-2020: A.8246 - referred to Insurance Committee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r w:rsidRPr="00864B88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FISCAL IMPLICATIONS</w:t>
      </w: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>:.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None to the state.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r w:rsidRPr="00864B88">
        <w:rPr>
          <w:rFonts w:ascii="Courier New" w:eastAsia="Times New Roman" w:hAnsi="Courier New" w:cs="Courier New"/>
          <w:color w:val="000099"/>
          <w:sz w:val="19"/>
          <w:szCs w:val="19"/>
          <w:u w:val="single"/>
        </w:rPr>
        <w:t>EFFECTIVE DATE</w:t>
      </w: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>: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First of January next succeeding the date on which it shall become a</w:t>
      </w:r>
    </w:p>
    <w:p w:rsidR="00864B88" w:rsidRPr="00864B88" w:rsidRDefault="00864B88" w:rsidP="00864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864B88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law.</w:t>
      </w:r>
    </w:p>
    <w:p w:rsidR="008B0DC3" w:rsidRDefault="008B0DC3"/>
    <w:sectPr w:rsidR="008B0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88"/>
    <w:rsid w:val="00864B88"/>
    <w:rsid w:val="008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BB985-A4BC-4F23-8C51-EA12056E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Plunkett</dc:creator>
  <cp:keywords/>
  <dc:description/>
  <cp:lastModifiedBy>Lance Plunkett</cp:lastModifiedBy>
  <cp:revision>1</cp:revision>
  <dcterms:created xsi:type="dcterms:W3CDTF">2022-12-24T13:25:00Z</dcterms:created>
  <dcterms:modified xsi:type="dcterms:W3CDTF">2022-12-24T13:26:00Z</dcterms:modified>
</cp:coreProperties>
</file>